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F7" w:rsidRPr="001A68F7" w:rsidRDefault="001A68F7" w:rsidP="001A68F7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A68F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نظام دور </w:t>
      </w:r>
      <w:r w:rsidRPr="001A68F7">
        <w:rPr>
          <w:rFonts w:asciiTheme="majorBidi" w:hAnsiTheme="majorBidi" w:cstheme="majorBidi" w:hint="cs"/>
          <w:b/>
          <w:bCs/>
          <w:sz w:val="32"/>
          <w:szCs w:val="32"/>
          <w:rtl/>
        </w:rPr>
        <w:t>إيواء</w:t>
      </w:r>
      <w:r w:rsidRPr="001A68F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المعرضات للخطر رقم 171 لسنة 2016 :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المادة 1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يسمي هذا النظام ( نظام دور إيواء المعرضات للخطر لسنة 2016 ) ويعمل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من تاريخ نشره في الجريدة الرسمية 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المادة 2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يكون للكلمات والعبارات التالية حيثما وردت في هذا النظام المعاني المخصصة لها أدناه ما لم تدل القرينة على غير ذلك :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الوزارة :  وزارة التنمية الاجتماعية.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الوزير :  وزير التنمية الاجتماعية 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الأمين العام :  أمين عام الوزارة.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الحا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کم الإداري :  المحافظ أو المتصرف.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اللجنة : اللجنة الإشرافية على الدار المشكلة بمقتضى أحكام هذا النظام 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الدار :  دار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ايواء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النساء المعرضات للخطر المنشأة وفق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اح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>ک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ام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هذا النظام.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المنتفعة : المرأة المعرضة للخطر المستضافة في الدار.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المدير :  مدير الدار 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مادة 3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يتم إنشاء الدار بقرار من الوزير بناء على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تنسيب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الأمين العام وتسمي کل دار باسم يميزها عن غيرها.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المادة 4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تهدف الدار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الي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تحقيق ما يلي :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أ‌. تأمين الحماية والإيواء المؤقت للمنتفعة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الى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حين حل مشكلتها أو زوال الخطورة عنها.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lastRenderedPageBreak/>
        <w:t xml:space="preserve">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ب‌. تقديم الرعاية الاجتماعية والخدمات المعيشية والنفسية والصحية والإرشادية والثقافية والقانونية اللازمة للمنتفعة 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ج. بناء قاعدة معلومات خاصة بالمنتفعات 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  <w:lang w:bidi="ar-JO"/>
        </w:rPr>
        <w:t>ا</w:t>
      </w:r>
      <w:r w:rsidRPr="001A68F7">
        <w:rPr>
          <w:rFonts w:asciiTheme="majorBidi" w:hAnsiTheme="majorBidi" w:cstheme="majorBidi"/>
          <w:sz w:val="32"/>
          <w:szCs w:val="32"/>
          <w:rtl/>
        </w:rPr>
        <w:t>لمادة 5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تتولى الدار في سبيل تحقيق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اهدافها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ما يلي: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أ. استقبال المعرضة للخطر وإيواءها وفق الأسس والشروط المنصوص عليها في هذا النظام 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ب. تأمين المأكل والملبس المناسب والخدمات المساندة للمنتفعة.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ج. توفير برامج التدريب والتأهيل والتعافي الجسدي والنفسي والتوعية الصحية والإرشادية والمساعدة القانونية للمنتفعة والسعي في حل مشكلتها بما يتوافق مع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مبادىء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حقوق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الانسان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وبالتنسيق مع الجهات ذات العلاقة.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د. توفير فرص عمل مناسبة للمنتفعات من خلال برامج التشغيل والمشاريع الصغيرة داخل الدار حسب الإمكانات المتاحة . 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هـ. تأمين برامج التسلية وبرامج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الرفاه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النفسي للمنتفعات حسب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الامكانات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المتاحة. 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و. جمع المعلومات المتعلقة بالمنتفعة بما في ذلك تاريخ الدخول إلى الدار والخروج منها. 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ز. تأمين المعلومات اللازمة للمنتفعة وتمكينها من الاتصال وطلب الاستعانة القانونية والحقوقية. 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ح. فتح ملف للمنتفعة يشمل منظومة الخدمات المقدمة لها ومعلومات وبيانات تتضمن الجوانب الصحية والنفسية والاجتماعية والقانونية والتمكين وتكون المعلومات والبيانات الواردة في الملف سرية 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lastRenderedPageBreak/>
        <w:t>المادة 6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أ. تشكل لجنة تسمى (اللجنة الإشرافية على الدار) برئاسة الأمين العام وعضوية ممثلين عن كل من: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1. وزارة الداخلية.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2. وزارة العدل.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3. وزارة الصحة.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4. دائرة قاضي القضاة.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5. مديرية الأمن العام.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6. مديرية الأحداث والأمن المجتمعي في الوزارة.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7. اثنين من ذوي الخبرة والاختصاص من مؤسسات المجتمع المدني يسميهما الوزير 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ب. يسمى مندوبو الوزارات والجهات المذكورة في البنود من (1)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الى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(6) من الفقرة (أ) من هذه المادة بقرار من الوزير المختص أو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المسؤول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الأول في الجهة المعنية.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ج. تختار اللجنة من بين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اعضائها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نائبا للرئيس يقوم مقامه عند غيابه.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="Times New Roman"/>
          <w:sz w:val="32"/>
          <w:szCs w:val="32"/>
          <w:rtl/>
        </w:rPr>
        <w:t>﻿</w:t>
      </w:r>
      <w:r w:rsidRPr="001A68F7">
        <w:rPr>
          <w:rFonts w:asciiTheme="majorBidi" w:hAnsiTheme="majorBidi" w:cstheme="majorBidi"/>
          <w:sz w:val="32"/>
          <w:szCs w:val="32"/>
          <w:rtl/>
        </w:rPr>
        <w:t>د. تكون مدة العضوية في اللجنة سنتين قابلة للتجديد.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المادة 7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أ. تتولى اللجنة المهام والصلاحيات التالية: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1. وضع الخطط والبرامج وأساليب العمل في الدار ومتابعة تنفيذها وتقييمها وفق السياسة العامة المعتمدة لذلك 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2. القيام بزيارات منتظمة للدار والتفتيش عليها 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3. الموافقة علي البرامج الاجتماعية والنفسية والدينية والإرشادية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والتأهيلية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التي تقدمها الدار.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lastRenderedPageBreak/>
        <w:t xml:space="preserve">4. تشكيل لجنة فرعية أو أكثر بما في ذلك لجنة لتقييم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اداء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الدار، على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ان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تحدد مهام هذه اللجنة وصلاحياتها في قرار تشكيلها وتقدم توصياتها إلى اللجنة.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 ب. للوزير تكليف أي جهة يراها مناسبة للتفتيش على الدار.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المادة 8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أ. تجتمع اللجنة بدعوة من رئيسها مرة على الأقل كل شهرين ويكون اجتماعها قانونياً بحضور أغلبية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اعضائها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>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 ب. يسمي الوزير من بين موظفي الوزارة أمين سر للجنة، يتولى إعداد جداول أعمالها وتدوين محاضر جلساتها وقراراتها ومتابعة تنفيذها وحفظ قيودها وسجلاتها 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المادة 9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أ‌. مع مراعاة أحكام المادة (10) من هذا النظام، للحاكم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الاداري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بالتنسيق مع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ادارة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حماية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الاسرة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في مديرية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الامن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العام والمدير وضع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اي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امرأة معرضة للخطر وتحتاج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الى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الحماية والإيواء المؤقت في الدار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الى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حين زوال ذلك الخطر وذلك بقرار إحالة خطي من الحاكم الإداري مرفقا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الدراسة الاجتماعية المقدمة من إدارة حماية الأسرة والتقرير الطبي للمنتفعة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ان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وجد.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 ب‌. يتم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الغاء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قيد المنتفعة من الدار بقرار من الحاكم الإداري 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المادة 10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علي الدار الالتزام بما يلي: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أ. عدم استقبال حالات تزيد على الطاقة الاستيعابية للدار.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ب. عدم استقبال المنتفعات قسرا 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ج. عدم استقبال ذوات الأسبقيات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الجرمية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ومكررات دخول مراكز الإصلاح والتأهيل لارتكابهن جرائم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اخرى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>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lastRenderedPageBreak/>
        <w:t>المادة 11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لا يجوز دخول الدار لأي شخص إلا بموافقة المدير وبمرافقة موظفة مختصة باستثناء الجهات الرقابية المختصة والرسمية على أن يتم الأخذ بعين الاعتبار خصوصية الاختصاص النوعي والنوع الاجتماعي.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المادة 12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يحق للمنتفعة القيام بما يلي: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أ. استقبال أي فرد من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الافراد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بقصد الزيارة بما لا يتعارض مع معايير عوامل الخطورة وبموافقة المدير، في المک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ان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المخصص الذي تحدده إدارة الدار ، وفي الأوقات المحددة للزيارة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وباشراف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الباحث الاجتماعي ووفق المعايير التي تحددها الدار.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ب. إدخال المقتنيات الشخصية الخاصة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بها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التي لا تتعارض مع التعليمات الداخلية للدار 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المادة 13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تلتزم المنتفعة بما يلي :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أ‌. التقيد والالتزام بالتعليمات والقرارات الصادرة عن إدارة الدار 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ب. عدم الإساءة للمنتفعات الأخريات 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ج. التعامل بكياسة وضمن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الأداب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العامة مع الكوادر العاملة في الدار.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المادة 14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تقوم الوزارة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باجراء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تقييم دوري لكافة البرامج المقدمة للمنتفعات.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المادة 15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أ. يتكون الجهاز الإداري للدار من عدد من الباحثين والفنيين بالقدر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>ک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افي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الذي يقرره الوزير علي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ان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يکون من بينهم مختصون في الشؤون القانونية والاجتماعية والنفسية والمالية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والادارية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>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lastRenderedPageBreak/>
        <w:t xml:space="preserve">ب. يجب أن تتوافر في الجهاز الإداري المتطلبات المنصوص عليها في نظام الخدمة المدنية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اضافة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الى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ما يلي: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1. يشترط فيمن تعين مديرة للدار أن تكون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انثى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اردنية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الجنسية وحاصلة على الشهادة الجامعية الأولى حداً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ادنى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في إحدى التخصصات ذات العلاقة ، ولديها خبرة عملية لا تقل عن سبع سنوات في مجال الرعاية والحماية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وادارة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دور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الايواء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وأن تكون متفرغة لإدارة الدار 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2. يشترط فيمن يعين في الوظائف الفنية في الدار أن يكون حاصلا على الشهادة الجامعية الأولى حداً أدنى في تخصص ذي علاقة وبخبرة عملية لا تقل عن ثلاث سنوات.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3. يشترط فيمن يعين في إحدى الوظائف الإدارية المساعدة في الدار أن يكون حاصلاً على شهادة الثانوية العامة حداً ادني 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ج. يجب أن يتوافر عدد من المشرفات في الدار لتقديم المساعدة للمنتفعات، ويشترط في مشرفة الدار :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1. أن تكون أردنية الجنسية.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2. أن تكون متفرغة وبشكل كامل للعمل في الدار.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3. أن لا يقل عمرها عن عشرين سنة 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4.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ان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تكون حاصلة حدا أدنى على شهادة الثانوية العامة مع مؤهلات تدريبية في إحدى مجالات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الارشاد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الاجتماعية.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د. يراعى أن تتوافر في الدار أخصائية اجتماعية ونفسية متفرغة للعمل داخل الدار، وتراعى زيادة عدد الأخصائيين بما يتناسب مع عدد الحالات.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المادة 16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أ. يجب أن تكون الدار مؤمنة من خلال توفير حماية كاملة لها 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ب. يتم تغطية جميع التحركات والتنقلات الخاصة بالمنتفعة من خلال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المفرزة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الأمنية.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المادة 17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lastRenderedPageBreak/>
        <w:t xml:space="preserve">تتولى مديرية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الامن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العام توفير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الامن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الداخلي والخارجي للدار وفقا لما يلي: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أ. توفير وظائف ثابتة من الشرطة خارج المبنى على مدار الساعة وحسب مقتضى الحال.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ب. توفير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مفرزة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داخل الدار من مرتب الشرطة النسائية باللباس المدني تتولى ما يلي: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1. متابعة الوضع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الامني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داخل الدار.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2. مرافقة النزيلات المعرضات للخطر في حال تطلب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الامر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ذلك لمراجعة المستشفيات والجهات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الادارية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والزيارات. 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 xml:space="preserve">ج. ربط مبني الدار والممرات الخاصة 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بک</w:t>
      </w:r>
      <w:proofErr w:type="spellStart"/>
      <w:r w:rsidRPr="001A68F7">
        <w:rPr>
          <w:rFonts w:asciiTheme="majorBidi" w:hAnsiTheme="majorBidi" w:cstheme="majorBidi"/>
          <w:sz w:val="32"/>
          <w:szCs w:val="32"/>
          <w:rtl/>
        </w:rPr>
        <w:t>اميرات</w:t>
      </w:r>
      <w:proofErr w:type="spellEnd"/>
      <w:r w:rsidRPr="001A68F7">
        <w:rPr>
          <w:rFonts w:asciiTheme="majorBidi" w:hAnsiTheme="majorBidi" w:cstheme="majorBidi"/>
          <w:sz w:val="32"/>
          <w:szCs w:val="32"/>
          <w:rtl/>
        </w:rPr>
        <w:t xml:space="preserve"> مراقبة مع مراعاة الخصوصية للمنتفعات.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المادة 18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يلتزم أعضاء اللجنة وأعضاء اللجان الفرعية المشكلة بموجب أحكام هذا النظام والمدير والعاملون في الدار بالمحافظة على سرية المعلومات المتعلقة بالمنتفعة وذلك تحت طائلة المسؤولية القانونية 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المادة 19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تخصص في الموازنة العامة المبالغ المالية اللازمة لتنفيذ أحكام هذا النظام 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المادة 20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</w:rPr>
      </w:pP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A68F7">
        <w:rPr>
          <w:rFonts w:asciiTheme="majorBidi" w:hAnsiTheme="majorBidi" w:cstheme="majorBidi"/>
          <w:sz w:val="32"/>
          <w:szCs w:val="32"/>
          <w:rtl/>
        </w:rPr>
        <w:t>يصدر الوزير التعليمات اللازمة لتنفيذ أحكام هذا النظام .</w:t>
      </w: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1A68F7" w:rsidRPr="001A68F7" w:rsidRDefault="001A68F7" w:rsidP="001A68F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FC6733" w:rsidRPr="001A68F7" w:rsidRDefault="00FC6733" w:rsidP="001A68F7">
      <w:pPr>
        <w:bidi/>
        <w:jc w:val="both"/>
        <w:rPr>
          <w:rFonts w:asciiTheme="majorBidi" w:hAnsiTheme="majorBidi" w:cstheme="majorBidi"/>
        </w:rPr>
      </w:pPr>
    </w:p>
    <w:sectPr w:rsidR="00FC6733" w:rsidRPr="001A68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A68F7"/>
    <w:rsid w:val="001A68F7"/>
    <w:rsid w:val="00FC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ayid.al-mashaqbuh</dc:creator>
  <cp:keywords/>
  <dc:description/>
  <cp:lastModifiedBy>ayid.al-mashaqbuh</cp:lastModifiedBy>
  <cp:revision>2</cp:revision>
  <dcterms:created xsi:type="dcterms:W3CDTF">2018-01-08T05:02:00Z</dcterms:created>
  <dcterms:modified xsi:type="dcterms:W3CDTF">2018-01-08T05:03:00Z</dcterms:modified>
</cp:coreProperties>
</file>